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42" w:rsidRPr="001A7107" w:rsidRDefault="00E12342" w:rsidP="00E12342">
      <w:pPr>
        <w:pStyle w:val="1"/>
        <w:rPr>
          <w:sz w:val="24"/>
          <w:szCs w:val="24"/>
        </w:rPr>
      </w:pPr>
      <w:bookmarkStart w:id="0" w:name="_GoBack"/>
      <w:r w:rsidRPr="001A7107">
        <w:rPr>
          <w:rFonts w:hint="eastAsia"/>
          <w:sz w:val="24"/>
          <w:szCs w:val="24"/>
        </w:rPr>
        <w:t>订阅</w:t>
      </w:r>
      <w:r>
        <w:rPr>
          <w:rFonts w:hint="eastAsia"/>
          <w:sz w:val="24"/>
          <w:szCs w:val="24"/>
        </w:rPr>
        <w:t>WRDS</w:t>
      </w:r>
      <w:r>
        <w:rPr>
          <w:rFonts w:hint="eastAsia"/>
          <w:sz w:val="24"/>
          <w:szCs w:val="24"/>
        </w:rPr>
        <w:t>后免费提供的数据库</w:t>
      </w:r>
    </w:p>
    <w:bookmarkEnd w:id="0"/>
    <w:p w:rsidR="00E12342" w:rsidRDefault="00E12342" w:rsidP="00E12342">
      <w:pPr>
        <w:pStyle w:val="a5"/>
        <w:rPr>
          <w:lang w:eastAsia="zh-CN"/>
        </w:rPr>
      </w:pPr>
    </w:p>
    <w:tbl>
      <w:tblPr>
        <w:tblW w:w="0" w:type="auto"/>
        <w:tblInd w:w="108" w:type="dxa"/>
        <w:tblLook w:val="01E0" w:firstRow="1" w:lastRow="1" w:firstColumn="1" w:lastColumn="1" w:noHBand="0" w:noVBand="0"/>
      </w:tblPr>
      <w:tblGrid>
        <w:gridCol w:w="4159"/>
        <w:gridCol w:w="4039"/>
      </w:tblGrid>
      <w:tr w:rsidR="00E12342" w:rsidTr="00694B20">
        <w:tc>
          <w:tcPr>
            <w:tcW w:w="4636" w:type="dxa"/>
            <w:shd w:val="clear" w:color="auto" w:fill="auto"/>
          </w:tcPr>
          <w:p w:rsidR="00E12342" w:rsidRPr="00624C75" w:rsidRDefault="00E12342" w:rsidP="00E12342">
            <w:pPr>
              <w:pStyle w:val="4"/>
              <w:keepNext w:val="0"/>
              <w:keepLines w:val="0"/>
              <w:numPr>
                <w:ilvl w:val="0"/>
                <w:numId w:val="1"/>
              </w:numPr>
              <w:tabs>
                <w:tab w:val="num" w:pos="360"/>
              </w:tabs>
              <w:spacing w:before="0" w:after="240" w:line="240" w:lineRule="auto"/>
              <w:ind w:hanging="720"/>
              <w:rPr>
                <w:rFonts w:ascii="Garamond" w:hAnsi="Garamond"/>
                <w:i w:val="0"/>
                <w:color w:val="auto"/>
                <w:sz w:val="24"/>
                <w:szCs w:val="24"/>
              </w:rPr>
            </w:pPr>
            <w:r w:rsidRPr="00624C75">
              <w:rPr>
                <w:rFonts w:ascii="Garamond" w:hAnsi="Garamond"/>
                <w:i w:val="0"/>
                <w:color w:val="auto"/>
                <w:sz w:val="24"/>
                <w:szCs w:val="24"/>
              </w:rPr>
              <w:t>Bank Regulatory Database</w:t>
            </w:r>
          </w:p>
        </w:tc>
        <w:tc>
          <w:tcPr>
            <w:tcW w:w="4616" w:type="dxa"/>
            <w:shd w:val="clear" w:color="auto" w:fill="auto"/>
          </w:tcPr>
          <w:p w:rsidR="00E12342" w:rsidRPr="00624C75" w:rsidRDefault="00E12342" w:rsidP="00694B20">
            <w:pPr>
              <w:pStyle w:val="a5"/>
            </w:pPr>
            <w:r w:rsidRPr="00624C75">
              <w:t>8.   Federal Reserve Bank Reports</w:t>
            </w:r>
          </w:p>
        </w:tc>
      </w:tr>
      <w:tr w:rsidR="00E12342" w:rsidTr="00694B20">
        <w:tc>
          <w:tcPr>
            <w:tcW w:w="4636" w:type="dxa"/>
            <w:shd w:val="clear" w:color="auto" w:fill="auto"/>
          </w:tcPr>
          <w:p w:rsidR="00E12342" w:rsidRPr="00624C75" w:rsidRDefault="00E12342" w:rsidP="00E12342">
            <w:pPr>
              <w:pStyle w:val="4"/>
              <w:keepNext w:val="0"/>
              <w:keepLines w:val="0"/>
              <w:numPr>
                <w:ilvl w:val="0"/>
                <w:numId w:val="1"/>
              </w:numPr>
              <w:tabs>
                <w:tab w:val="num" w:pos="360"/>
              </w:tabs>
              <w:spacing w:before="0" w:after="240" w:line="240" w:lineRule="auto"/>
              <w:ind w:hanging="720"/>
              <w:rPr>
                <w:rFonts w:ascii="Garamond" w:hAnsi="Garamond"/>
                <w:i w:val="0"/>
                <w:color w:val="auto"/>
                <w:sz w:val="24"/>
                <w:szCs w:val="24"/>
              </w:rPr>
            </w:pPr>
            <w:r w:rsidRPr="00624C75">
              <w:rPr>
                <w:rFonts w:ascii="Garamond" w:hAnsi="Garamond"/>
                <w:i w:val="0"/>
                <w:color w:val="auto"/>
                <w:sz w:val="24"/>
                <w:szCs w:val="24"/>
              </w:rPr>
              <w:t>Blockholders</w:t>
            </w:r>
          </w:p>
        </w:tc>
        <w:tc>
          <w:tcPr>
            <w:tcW w:w="4616" w:type="dxa"/>
            <w:shd w:val="clear" w:color="auto" w:fill="auto"/>
          </w:tcPr>
          <w:p w:rsidR="00E12342" w:rsidRPr="00624C75" w:rsidRDefault="00E12342" w:rsidP="00694B20">
            <w:pPr>
              <w:pStyle w:val="a5"/>
            </w:pPr>
            <w:r w:rsidRPr="00624C75">
              <w:t xml:space="preserve">9.   IRI Marketing Factbook </w:t>
            </w:r>
          </w:p>
        </w:tc>
      </w:tr>
      <w:tr w:rsidR="00E12342" w:rsidRPr="00212B71" w:rsidTr="00694B20">
        <w:tc>
          <w:tcPr>
            <w:tcW w:w="4636" w:type="dxa"/>
            <w:shd w:val="clear" w:color="auto" w:fill="auto"/>
          </w:tcPr>
          <w:p w:rsidR="00E12342" w:rsidRPr="00624C75" w:rsidRDefault="00E12342" w:rsidP="00694B20">
            <w:pPr>
              <w:pStyle w:val="a5"/>
            </w:pPr>
            <w:r w:rsidRPr="00624C75">
              <w:t>3.   CBOE Indexes</w:t>
            </w:r>
          </w:p>
        </w:tc>
        <w:tc>
          <w:tcPr>
            <w:tcW w:w="4616" w:type="dxa"/>
            <w:shd w:val="clear" w:color="auto" w:fill="auto"/>
          </w:tcPr>
          <w:p w:rsidR="00E12342" w:rsidRPr="00624C75" w:rsidRDefault="00E12342" w:rsidP="00694B20">
            <w:pPr>
              <w:pStyle w:val="a5"/>
              <w:tabs>
                <w:tab w:val="left" w:pos="336"/>
              </w:tabs>
            </w:pPr>
            <w:r w:rsidRPr="00624C75">
              <w:t>10.   Penn World Tables</w:t>
            </w:r>
          </w:p>
        </w:tc>
      </w:tr>
      <w:tr w:rsidR="00E12342" w:rsidTr="00694B20">
        <w:tc>
          <w:tcPr>
            <w:tcW w:w="4636" w:type="dxa"/>
            <w:shd w:val="clear" w:color="auto" w:fill="auto"/>
          </w:tcPr>
          <w:p w:rsidR="00E12342" w:rsidRPr="00624C75" w:rsidRDefault="00E12342" w:rsidP="00694B20">
            <w:pPr>
              <w:pStyle w:val="a5"/>
            </w:pPr>
            <w:r w:rsidRPr="00624C75">
              <w:t>4.   DMEF</w:t>
            </w:r>
          </w:p>
        </w:tc>
        <w:tc>
          <w:tcPr>
            <w:tcW w:w="4616" w:type="dxa"/>
            <w:shd w:val="clear" w:color="auto" w:fill="auto"/>
          </w:tcPr>
          <w:p w:rsidR="00E12342" w:rsidRPr="00624C75" w:rsidRDefault="00E12342" w:rsidP="00694B20">
            <w:pPr>
              <w:pStyle w:val="a5"/>
            </w:pPr>
            <w:r w:rsidRPr="00624C75">
              <w:t>11.  Philadelphia Stock Exchange</w:t>
            </w:r>
          </w:p>
        </w:tc>
      </w:tr>
      <w:tr w:rsidR="00E12342" w:rsidRPr="00E12342" w:rsidTr="00694B20">
        <w:tc>
          <w:tcPr>
            <w:tcW w:w="4636" w:type="dxa"/>
            <w:shd w:val="clear" w:color="auto" w:fill="auto"/>
          </w:tcPr>
          <w:p w:rsidR="00E12342" w:rsidRPr="00624C75" w:rsidRDefault="00E12342" w:rsidP="00694B20">
            <w:pPr>
              <w:pStyle w:val="a5"/>
            </w:pPr>
            <w:r w:rsidRPr="00624C75">
              <w:t>5.   Dow Jones</w:t>
            </w:r>
          </w:p>
        </w:tc>
        <w:tc>
          <w:tcPr>
            <w:tcW w:w="4616" w:type="dxa"/>
            <w:shd w:val="clear" w:color="auto" w:fill="auto"/>
          </w:tcPr>
          <w:p w:rsidR="00E12342" w:rsidRPr="00624C75" w:rsidRDefault="00E12342" w:rsidP="00694B20">
            <w:pPr>
              <w:pStyle w:val="a5"/>
            </w:pPr>
            <w:r w:rsidRPr="00624C75">
              <w:t>12.  SEC Disclosure of Order Execution</w:t>
            </w:r>
          </w:p>
        </w:tc>
      </w:tr>
      <w:tr w:rsidR="00E12342" w:rsidTr="00694B20">
        <w:tc>
          <w:tcPr>
            <w:tcW w:w="4636" w:type="dxa"/>
            <w:shd w:val="clear" w:color="auto" w:fill="auto"/>
          </w:tcPr>
          <w:p w:rsidR="00E12342" w:rsidRPr="00624C75" w:rsidRDefault="00E12342" w:rsidP="00694B20">
            <w:pPr>
              <w:pStyle w:val="a5"/>
            </w:pPr>
            <w:r w:rsidRPr="00624C75">
              <w:t>6.   Fama-French Portfolios and Factors</w:t>
            </w:r>
          </w:p>
          <w:p w:rsidR="00E12342" w:rsidRPr="00624C75" w:rsidRDefault="00E12342" w:rsidP="00694B20">
            <w:pPr>
              <w:pStyle w:val="a5"/>
            </w:pPr>
            <w:r w:rsidRPr="00624C75">
              <w:t>7.   FDIC Database Files</w:t>
            </w:r>
            <w:r>
              <w:t xml:space="preserve"> </w:t>
            </w:r>
          </w:p>
        </w:tc>
        <w:tc>
          <w:tcPr>
            <w:tcW w:w="4616" w:type="dxa"/>
            <w:shd w:val="clear" w:color="auto" w:fill="auto"/>
          </w:tcPr>
          <w:p w:rsidR="00E12342" w:rsidRPr="00624C75" w:rsidRDefault="00E12342" w:rsidP="00694B20">
            <w:pPr>
              <w:pStyle w:val="a5"/>
            </w:pPr>
            <w:r w:rsidRPr="00624C75">
              <w:t>13.  TRACE</w:t>
            </w:r>
          </w:p>
          <w:p w:rsidR="00E12342" w:rsidRDefault="00E12342" w:rsidP="00694B20">
            <w:pPr>
              <w:pStyle w:val="a5"/>
              <w:rPr>
                <w:lang w:eastAsia="zh-CN"/>
              </w:rPr>
            </w:pPr>
            <w:r w:rsidRPr="00624C75">
              <w:t xml:space="preserve">14.  </w:t>
            </w:r>
            <w:r>
              <w:rPr>
                <w:rFonts w:hint="eastAsia"/>
                <w:lang w:eastAsia="zh-CN"/>
              </w:rPr>
              <w:t>OTC</w:t>
            </w:r>
          </w:p>
          <w:p w:rsidR="00E12342" w:rsidRPr="00624C75" w:rsidRDefault="00E12342" w:rsidP="00694B20">
            <w:pPr>
              <w:pStyle w:val="a5"/>
              <w:rPr>
                <w:lang w:eastAsia="zh-CN"/>
              </w:rPr>
            </w:pPr>
          </w:p>
        </w:tc>
      </w:tr>
    </w:tbl>
    <w:p w:rsidR="00E12342" w:rsidRPr="001A7107" w:rsidRDefault="00E12342" w:rsidP="00E12342">
      <w:pPr>
        <w:pStyle w:val="1"/>
        <w:rPr>
          <w:sz w:val="24"/>
          <w:szCs w:val="24"/>
        </w:rPr>
      </w:pPr>
      <w:r>
        <w:rPr>
          <w:rFonts w:hint="eastAsia"/>
          <w:sz w:val="24"/>
          <w:szCs w:val="24"/>
        </w:rPr>
        <w:t>免费数据库简介</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rFonts w:hint="eastAsia"/>
          <w:sz w:val="24"/>
          <w:szCs w:val="24"/>
          <w:lang w:val="en-US"/>
        </w:rPr>
        <w:t>OTC</w:t>
      </w:r>
      <w:r w:rsidRPr="008E0235">
        <w:rPr>
          <w:rFonts w:hint="eastAsia"/>
          <w:sz w:val="24"/>
          <w:szCs w:val="24"/>
          <w:lang w:val="en-US"/>
        </w:rPr>
        <w:t>数据</w:t>
      </w:r>
      <w:r w:rsidRPr="008E0235">
        <w:rPr>
          <w:rFonts w:hint="eastAsia"/>
          <w:sz w:val="24"/>
          <w:szCs w:val="24"/>
          <w:lang w:val="en-US"/>
        </w:rPr>
        <w:t xml:space="preserve"> </w:t>
      </w:r>
      <w:r w:rsidRPr="008E0235">
        <w:rPr>
          <w:sz w:val="24"/>
          <w:szCs w:val="24"/>
          <w:lang w:val="en-US"/>
        </w:rPr>
        <w:t xml:space="preserve"> </w:t>
      </w:r>
      <w:r w:rsidRPr="008E0235">
        <w:rPr>
          <w:rFonts w:hint="eastAsia"/>
          <w:sz w:val="24"/>
          <w:szCs w:val="24"/>
          <w:lang w:val="en-US"/>
        </w:rPr>
        <w:t>(2011</w:t>
      </w:r>
      <w:r w:rsidRPr="008E0235">
        <w:rPr>
          <w:rFonts w:hint="eastAsia"/>
          <w:sz w:val="24"/>
          <w:szCs w:val="24"/>
          <w:lang w:val="en-US"/>
        </w:rPr>
        <w:t>年</w:t>
      </w:r>
      <w:r w:rsidRPr="008E0235">
        <w:rPr>
          <w:rFonts w:hint="eastAsia"/>
          <w:sz w:val="24"/>
          <w:szCs w:val="24"/>
          <w:lang w:val="en-US"/>
        </w:rPr>
        <w:t>9</w:t>
      </w:r>
      <w:r w:rsidRPr="008E0235">
        <w:rPr>
          <w:rFonts w:hint="eastAsia"/>
          <w:sz w:val="24"/>
          <w:szCs w:val="24"/>
          <w:lang w:val="en-US"/>
        </w:rPr>
        <w:t>月</w:t>
      </w:r>
      <w:r w:rsidRPr="008E0235">
        <w:rPr>
          <w:rFonts w:hint="eastAsia"/>
          <w:sz w:val="24"/>
          <w:szCs w:val="24"/>
          <w:lang w:val="en-US"/>
        </w:rPr>
        <w:t>1</w:t>
      </w:r>
      <w:r w:rsidRPr="008E0235">
        <w:rPr>
          <w:rFonts w:hint="eastAsia"/>
          <w:sz w:val="24"/>
          <w:szCs w:val="24"/>
          <w:lang w:val="en-US"/>
        </w:rPr>
        <w:t>日以来的数据</w:t>
      </w:r>
      <w:r w:rsidRPr="008E0235">
        <w:rPr>
          <w:rFonts w:hint="eastAsia"/>
          <w:sz w:val="24"/>
          <w:szCs w:val="24"/>
          <w:lang w:val="en-US"/>
        </w:rPr>
        <w:t>)</w:t>
      </w:r>
    </w:p>
    <w:p w:rsidR="00E12342" w:rsidRPr="008E0235" w:rsidRDefault="00E12342" w:rsidP="00E12342">
      <w:pPr>
        <w:rPr>
          <w:sz w:val="24"/>
          <w:szCs w:val="24"/>
          <w:lang w:val="en-US"/>
        </w:rPr>
      </w:pPr>
      <w:r w:rsidRPr="008E0235">
        <w:rPr>
          <w:rFonts w:hint="eastAsia"/>
          <w:sz w:val="24"/>
          <w:szCs w:val="24"/>
          <w:lang w:val="en-US"/>
        </w:rPr>
        <w:t>•获取关于在</w:t>
      </w:r>
      <w:r w:rsidRPr="008E0235">
        <w:rPr>
          <w:rFonts w:hint="eastAsia"/>
          <w:sz w:val="24"/>
          <w:szCs w:val="24"/>
          <w:lang w:val="en-US"/>
        </w:rPr>
        <w:t>OTCQX</w:t>
      </w:r>
      <w:r w:rsidRPr="008E0235">
        <w:rPr>
          <w:rFonts w:hint="eastAsia"/>
          <w:sz w:val="24"/>
          <w:szCs w:val="24"/>
          <w:lang w:val="en-US"/>
        </w:rPr>
        <w:t>，</w:t>
      </w:r>
      <w:r w:rsidRPr="008E0235">
        <w:rPr>
          <w:rFonts w:hint="eastAsia"/>
          <w:sz w:val="24"/>
          <w:szCs w:val="24"/>
          <w:lang w:val="en-US"/>
        </w:rPr>
        <w:t>OTCQB</w:t>
      </w:r>
      <w:r w:rsidRPr="008E0235">
        <w:rPr>
          <w:rFonts w:hint="eastAsia"/>
          <w:sz w:val="24"/>
          <w:szCs w:val="24"/>
          <w:lang w:val="en-US"/>
        </w:rPr>
        <w:t>和</w:t>
      </w:r>
      <w:r w:rsidRPr="008E0235">
        <w:rPr>
          <w:rFonts w:hint="eastAsia"/>
          <w:sz w:val="24"/>
          <w:szCs w:val="24"/>
          <w:lang w:val="en-US"/>
        </w:rPr>
        <w:t>OTC Pink Marketplace</w:t>
      </w:r>
      <w:r w:rsidRPr="008E0235">
        <w:rPr>
          <w:rFonts w:hint="eastAsia"/>
          <w:sz w:val="24"/>
          <w:szCs w:val="24"/>
          <w:lang w:val="en-US"/>
        </w:rPr>
        <w:t>交易的</w:t>
      </w:r>
      <w:r w:rsidRPr="008E0235">
        <w:rPr>
          <w:rFonts w:hint="eastAsia"/>
          <w:sz w:val="24"/>
          <w:szCs w:val="24"/>
          <w:lang w:val="en-US"/>
        </w:rPr>
        <w:t>10K</w:t>
      </w:r>
      <w:r w:rsidRPr="008E0235">
        <w:rPr>
          <w:rFonts w:hint="eastAsia"/>
          <w:sz w:val="24"/>
          <w:szCs w:val="24"/>
          <w:lang w:val="en-US"/>
        </w:rPr>
        <w:t>证券的全面、及时和准确的数据。</w:t>
      </w:r>
    </w:p>
    <w:p w:rsidR="00E12342" w:rsidRPr="008E0235" w:rsidRDefault="00E12342" w:rsidP="00E12342">
      <w:pPr>
        <w:rPr>
          <w:sz w:val="24"/>
          <w:szCs w:val="24"/>
          <w:lang w:val="en-US"/>
        </w:rPr>
      </w:pPr>
      <w:r w:rsidRPr="008E0235">
        <w:rPr>
          <w:rFonts w:hint="eastAsia"/>
          <w:sz w:val="24"/>
          <w:szCs w:val="24"/>
          <w:lang w:val="en-US"/>
        </w:rPr>
        <w:t>•进行投资组合定价和估值、投资会计、清算和结算以及客户报表准备。</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 xml:space="preserve">TRACE </w:t>
      </w:r>
      <w:r w:rsidRPr="008E0235">
        <w:rPr>
          <w:rFonts w:hint="eastAsia"/>
          <w:sz w:val="24"/>
          <w:szCs w:val="24"/>
          <w:lang w:val="en-US"/>
        </w:rPr>
        <w:t>（</w:t>
      </w:r>
      <w:r w:rsidRPr="008E0235">
        <w:rPr>
          <w:rFonts w:hint="eastAsia"/>
          <w:sz w:val="24"/>
          <w:szCs w:val="24"/>
          <w:lang w:val="en-US"/>
        </w:rPr>
        <w:t>2002</w:t>
      </w:r>
      <w:r w:rsidRPr="008E0235">
        <w:rPr>
          <w:rFonts w:hint="eastAsia"/>
          <w:sz w:val="24"/>
          <w:szCs w:val="24"/>
          <w:lang w:val="en-US"/>
        </w:rPr>
        <w:t>年以来的数据）</w:t>
      </w:r>
    </w:p>
    <w:p w:rsidR="00E12342" w:rsidRPr="008E0235" w:rsidRDefault="00E12342" w:rsidP="00E12342">
      <w:pPr>
        <w:rPr>
          <w:sz w:val="24"/>
          <w:szCs w:val="24"/>
          <w:lang w:val="en-US"/>
        </w:rPr>
      </w:pPr>
      <w:r w:rsidRPr="008E0235">
        <w:rPr>
          <w:rFonts w:hint="eastAsia"/>
          <w:sz w:val="24"/>
          <w:szCs w:val="24"/>
          <w:lang w:val="en-US"/>
        </w:rPr>
        <w:t>贸易报告和合规引擎是</w:t>
      </w:r>
      <w:r w:rsidRPr="008E0235">
        <w:rPr>
          <w:rFonts w:hint="eastAsia"/>
          <w:sz w:val="24"/>
          <w:szCs w:val="24"/>
          <w:lang w:val="en-US"/>
        </w:rPr>
        <w:t>FINRA</w:t>
      </w:r>
      <w:r w:rsidRPr="008E0235">
        <w:rPr>
          <w:rFonts w:hint="eastAsia"/>
          <w:sz w:val="24"/>
          <w:szCs w:val="24"/>
          <w:lang w:val="en-US"/>
        </w:rPr>
        <w:t>的场外交易市场（</w:t>
      </w:r>
      <w:r w:rsidRPr="008E0235">
        <w:rPr>
          <w:rFonts w:hint="eastAsia"/>
          <w:sz w:val="24"/>
          <w:szCs w:val="24"/>
          <w:lang w:val="en-US"/>
        </w:rPr>
        <w:t>OTC</w:t>
      </w:r>
      <w:r w:rsidRPr="008E0235">
        <w:rPr>
          <w:rFonts w:hint="eastAsia"/>
          <w:sz w:val="24"/>
          <w:szCs w:val="24"/>
          <w:lang w:val="en-US"/>
        </w:rPr>
        <w:t>）公司债券市场实时价格传播服务，为公司债券市场带来透明度。合并所有合格公司债券的交易数据</w:t>
      </w:r>
      <w:r w:rsidRPr="008E0235">
        <w:rPr>
          <w:rFonts w:hint="eastAsia"/>
          <w:sz w:val="24"/>
          <w:szCs w:val="24"/>
          <w:lang w:val="en-US"/>
        </w:rPr>
        <w:t xml:space="preserve"> - </w:t>
      </w:r>
      <w:r w:rsidRPr="008E0235">
        <w:rPr>
          <w:rFonts w:hint="eastAsia"/>
          <w:sz w:val="24"/>
          <w:szCs w:val="24"/>
          <w:lang w:val="en-US"/>
        </w:rPr>
        <w:t>投资级别、高收益和可转换债务。</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Bank Regulatory</w:t>
      </w:r>
    </w:p>
    <w:p w:rsidR="00E12342" w:rsidRPr="008E0235" w:rsidRDefault="00E12342" w:rsidP="00E12342">
      <w:pPr>
        <w:rPr>
          <w:sz w:val="24"/>
          <w:szCs w:val="24"/>
          <w:lang w:val="en-US"/>
        </w:rPr>
      </w:pPr>
      <w:r w:rsidRPr="008E0235">
        <w:rPr>
          <w:rFonts w:hint="eastAsia"/>
          <w:sz w:val="24"/>
          <w:szCs w:val="24"/>
          <w:lang w:val="en-US"/>
        </w:rPr>
        <w:t>为银行控股公司、商业银行、储蓄和贷款机构提供会计数据。</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Blockholders</w:t>
      </w:r>
    </w:p>
    <w:p w:rsidR="00E12342" w:rsidRPr="008E0235" w:rsidRDefault="00E12342" w:rsidP="00E12342">
      <w:pPr>
        <w:rPr>
          <w:sz w:val="24"/>
          <w:szCs w:val="24"/>
          <w:lang w:val="en-US"/>
        </w:rPr>
      </w:pPr>
      <w:r w:rsidRPr="008E0235">
        <w:rPr>
          <w:rFonts w:hint="eastAsia"/>
          <w:sz w:val="24"/>
          <w:szCs w:val="24"/>
          <w:lang w:val="en-US"/>
        </w:rPr>
        <w:t>包含</w:t>
      </w:r>
      <w:r w:rsidRPr="008E0235">
        <w:rPr>
          <w:rFonts w:hint="eastAsia"/>
          <w:sz w:val="24"/>
          <w:szCs w:val="24"/>
          <w:lang w:val="en-US"/>
        </w:rPr>
        <w:t>1913</w:t>
      </w:r>
      <w:r w:rsidRPr="008E0235">
        <w:rPr>
          <w:rFonts w:hint="eastAsia"/>
          <w:sz w:val="24"/>
          <w:szCs w:val="24"/>
          <w:lang w:val="en-US"/>
        </w:rPr>
        <w:t>家公司大宗股票持有人的标准数据</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lastRenderedPageBreak/>
        <w:t xml:space="preserve">★ </w:t>
      </w:r>
      <w:r w:rsidRPr="008E0235">
        <w:rPr>
          <w:sz w:val="24"/>
          <w:szCs w:val="24"/>
          <w:lang w:val="en-US"/>
        </w:rPr>
        <w:t>CBOE</w:t>
      </w:r>
    </w:p>
    <w:p w:rsidR="00E12342" w:rsidRPr="008E0235" w:rsidRDefault="00E12342" w:rsidP="00E12342">
      <w:pPr>
        <w:rPr>
          <w:sz w:val="24"/>
          <w:szCs w:val="24"/>
          <w:lang w:val="en-US"/>
        </w:rPr>
      </w:pPr>
      <w:r w:rsidRPr="008E0235">
        <w:rPr>
          <w:rFonts w:hint="eastAsia"/>
          <w:sz w:val="24"/>
          <w:szCs w:val="24"/>
          <w:lang w:val="en-US"/>
        </w:rPr>
        <w:t>（芝加哥期权交易所）波动率指数是标准普尔</w:t>
      </w:r>
      <w:r w:rsidRPr="008E0235">
        <w:rPr>
          <w:rFonts w:hint="eastAsia"/>
          <w:sz w:val="24"/>
          <w:szCs w:val="24"/>
          <w:lang w:val="en-US"/>
        </w:rPr>
        <w:t>500</w:t>
      </w:r>
      <w:r w:rsidRPr="008E0235">
        <w:rPr>
          <w:rFonts w:hint="eastAsia"/>
          <w:sz w:val="24"/>
          <w:szCs w:val="24"/>
          <w:lang w:val="en-US"/>
        </w:rPr>
        <w:t>股票指数期权价格带来的短期波动的市场预期的重要指标。</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DMEF</w:t>
      </w:r>
    </w:p>
    <w:p w:rsidR="00E12342" w:rsidRPr="008E0235" w:rsidRDefault="00E12342" w:rsidP="00E12342">
      <w:pPr>
        <w:rPr>
          <w:sz w:val="24"/>
          <w:szCs w:val="24"/>
          <w:lang w:val="en-US"/>
        </w:rPr>
      </w:pPr>
      <w:r w:rsidRPr="008E0235">
        <w:rPr>
          <w:rFonts w:hint="eastAsia"/>
          <w:sz w:val="24"/>
          <w:szCs w:val="24"/>
          <w:lang w:val="en-US"/>
        </w:rPr>
        <w:t>（直接营销教育基金会）包含约</w:t>
      </w:r>
      <w:r w:rsidRPr="008E0235">
        <w:rPr>
          <w:rFonts w:hint="eastAsia"/>
          <w:sz w:val="24"/>
          <w:szCs w:val="24"/>
          <w:lang w:val="en-US"/>
        </w:rPr>
        <w:t>100,000</w:t>
      </w:r>
      <w:r w:rsidRPr="008E0235">
        <w:rPr>
          <w:rFonts w:hint="eastAsia"/>
          <w:sz w:val="24"/>
          <w:szCs w:val="24"/>
          <w:lang w:val="en-US"/>
        </w:rPr>
        <w:t>个客户的国内知名目录和非营利数据库营销业务的客户购买历史。</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w:t>
      </w:r>
      <w:r w:rsidRPr="008E0235">
        <w:rPr>
          <w:rFonts w:hint="eastAsia"/>
          <w:sz w:val="24"/>
          <w:szCs w:val="24"/>
          <w:lang w:val="en-US"/>
        </w:rPr>
        <w:t>道琼斯</w:t>
      </w:r>
    </w:p>
    <w:p w:rsidR="00E12342" w:rsidRPr="008E0235" w:rsidRDefault="00E12342" w:rsidP="00E12342">
      <w:pPr>
        <w:rPr>
          <w:sz w:val="24"/>
          <w:szCs w:val="24"/>
          <w:lang w:val="en-US"/>
        </w:rPr>
      </w:pPr>
      <w:r w:rsidRPr="008E0235">
        <w:rPr>
          <w:rFonts w:hint="eastAsia"/>
          <w:sz w:val="24"/>
          <w:szCs w:val="24"/>
          <w:lang w:val="en-US"/>
        </w:rPr>
        <w:t>由每日和每月道琼斯综合（</w:t>
      </w:r>
      <w:r w:rsidRPr="008E0235">
        <w:rPr>
          <w:rFonts w:hint="eastAsia"/>
          <w:sz w:val="24"/>
          <w:szCs w:val="24"/>
          <w:lang w:val="en-US"/>
        </w:rPr>
        <w:t>DJA</w:t>
      </w:r>
      <w:r w:rsidRPr="008E0235">
        <w:rPr>
          <w:rFonts w:hint="eastAsia"/>
          <w:sz w:val="24"/>
          <w:szCs w:val="24"/>
          <w:lang w:val="en-US"/>
        </w:rPr>
        <w:t>），工业（</w:t>
      </w:r>
      <w:r w:rsidRPr="008E0235">
        <w:rPr>
          <w:rFonts w:hint="eastAsia"/>
          <w:sz w:val="24"/>
          <w:szCs w:val="24"/>
          <w:lang w:val="en-US"/>
        </w:rPr>
        <w:t>DJI</w:t>
      </w:r>
      <w:r w:rsidRPr="008E0235">
        <w:rPr>
          <w:rFonts w:hint="eastAsia"/>
          <w:sz w:val="24"/>
          <w:szCs w:val="24"/>
          <w:lang w:val="en-US"/>
        </w:rPr>
        <w:t>），交通（</w:t>
      </w:r>
      <w:r w:rsidRPr="008E0235">
        <w:rPr>
          <w:rFonts w:hint="eastAsia"/>
          <w:sz w:val="24"/>
          <w:szCs w:val="24"/>
          <w:lang w:val="en-US"/>
        </w:rPr>
        <w:t>DJT</w:t>
      </w:r>
      <w:r w:rsidRPr="008E0235">
        <w:rPr>
          <w:rFonts w:hint="eastAsia"/>
          <w:sz w:val="24"/>
          <w:szCs w:val="24"/>
          <w:lang w:val="en-US"/>
        </w:rPr>
        <w:t>），公用事业（</w:t>
      </w:r>
      <w:r w:rsidRPr="008E0235">
        <w:rPr>
          <w:rFonts w:hint="eastAsia"/>
          <w:sz w:val="24"/>
          <w:szCs w:val="24"/>
          <w:lang w:val="en-US"/>
        </w:rPr>
        <w:t>DJU</w:t>
      </w:r>
      <w:r w:rsidRPr="008E0235">
        <w:rPr>
          <w:rFonts w:hint="eastAsia"/>
          <w:sz w:val="24"/>
          <w:szCs w:val="24"/>
          <w:lang w:val="en-US"/>
        </w:rPr>
        <w:t>），道琼斯</w:t>
      </w:r>
      <w:r w:rsidRPr="008E0235">
        <w:rPr>
          <w:rFonts w:hint="eastAsia"/>
          <w:sz w:val="24"/>
          <w:szCs w:val="24"/>
          <w:lang w:val="en-US"/>
        </w:rPr>
        <w:t>5</w:t>
      </w:r>
      <w:r w:rsidRPr="008E0235">
        <w:rPr>
          <w:rFonts w:hint="eastAsia"/>
          <w:sz w:val="24"/>
          <w:szCs w:val="24"/>
          <w:lang w:val="en-US"/>
        </w:rPr>
        <w:t>和</w:t>
      </w:r>
      <w:r w:rsidRPr="008E0235">
        <w:rPr>
          <w:rFonts w:hint="eastAsia"/>
          <w:sz w:val="24"/>
          <w:szCs w:val="24"/>
          <w:lang w:val="en-US"/>
        </w:rPr>
        <w:t>10</w:t>
      </w:r>
      <w:r w:rsidRPr="008E0235">
        <w:rPr>
          <w:rFonts w:hint="eastAsia"/>
          <w:sz w:val="24"/>
          <w:szCs w:val="24"/>
          <w:lang w:val="en-US"/>
        </w:rPr>
        <w:t>组成。</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rFonts w:hint="eastAsia"/>
          <w:sz w:val="24"/>
          <w:szCs w:val="24"/>
          <w:lang w:val="en-US"/>
        </w:rPr>
        <w:t>Fama</w:t>
      </w:r>
      <w:r w:rsidRPr="008E0235">
        <w:rPr>
          <w:rFonts w:hint="eastAsia"/>
          <w:sz w:val="24"/>
          <w:szCs w:val="24"/>
          <w:lang w:val="en-US"/>
        </w:rPr>
        <w:t>法国投资组合</w:t>
      </w:r>
    </w:p>
    <w:p w:rsidR="00E12342" w:rsidRPr="008E0235" w:rsidRDefault="00E12342" w:rsidP="00E12342">
      <w:pPr>
        <w:rPr>
          <w:sz w:val="24"/>
          <w:szCs w:val="24"/>
          <w:lang w:val="en-US"/>
        </w:rPr>
      </w:pPr>
      <w:r w:rsidRPr="008E0235">
        <w:rPr>
          <w:rFonts w:hint="eastAsia"/>
          <w:sz w:val="24"/>
          <w:szCs w:val="24"/>
          <w:lang w:val="en-US"/>
        </w:rPr>
        <w:t>是根据市场公允（</w:t>
      </w:r>
      <w:r w:rsidRPr="008E0235">
        <w:rPr>
          <w:rFonts w:hint="eastAsia"/>
          <w:sz w:val="24"/>
          <w:szCs w:val="24"/>
          <w:lang w:val="en-US"/>
        </w:rPr>
        <w:t>ME</w:t>
      </w:r>
      <w:r w:rsidRPr="008E0235">
        <w:rPr>
          <w:rFonts w:hint="eastAsia"/>
          <w:sz w:val="24"/>
          <w:szCs w:val="24"/>
          <w:lang w:val="en-US"/>
        </w:rPr>
        <w:t>）测量的两个投资组合的交叉点，以及使用作为价值代理的账面股权与市场权益（</w:t>
      </w:r>
      <w:r w:rsidRPr="008E0235">
        <w:rPr>
          <w:rFonts w:hint="eastAsia"/>
          <w:sz w:val="24"/>
          <w:szCs w:val="24"/>
          <w:lang w:val="en-US"/>
        </w:rPr>
        <w:t>BE / ME</w:t>
      </w:r>
      <w:r w:rsidRPr="008E0235">
        <w:rPr>
          <w:rFonts w:hint="eastAsia"/>
          <w:sz w:val="24"/>
          <w:szCs w:val="24"/>
          <w:lang w:val="en-US"/>
        </w:rPr>
        <w:t>）的比率的三个投资组合构成的。</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FDIC</w:t>
      </w:r>
    </w:p>
    <w:p w:rsidR="00E12342" w:rsidRPr="008E0235" w:rsidRDefault="00E12342" w:rsidP="00E12342">
      <w:pPr>
        <w:rPr>
          <w:sz w:val="24"/>
          <w:szCs w:val="24"/>
          <w:lang w:val="en-US"/>
        </w:rPr>
      </w:pPr>
      <w:r w:rsidRPr="008E0235">
        <w:rPr>
          <w:rFonts w:hint="eastAsia"/>
          <w:sz w:val="24"/>
          <w:szCs w:val="24"/>
          <w:lang w:val="en-US"/>
        </w:rPr>
        <w:t>包含金融数据和所有实体的条件和收入报告的历史。</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w:t>
      </w:r>
      <w:r w:rsidRPr="008E0235">
        <w:rPr>
          <w:rFonts w:hint="eastAsia"/>
          <w:sz w:val="24"/>
          <w:szCs w:val="24"/>
          <w:lang w:val="en-US"/>
        </w:rPr>
        <w:t>联邦储备银行报告</w:t>
      </w:r>
    </w:p>
    <w:p w:rsidR="00E12342" w:rsidRPr="008E0235" w:rsidRDefault="00E12342" w:rsidP="00E12342">
      <w:pPr>
        <w:rPr>
          <w:sz w:val="24"/>
          <w:szCs w:val="24"/>
          <w:lang w:val="en-US"/>
        </w:rPr>
      </w:pPr>
      <w:r w:rsidRPr="008E0235">
        <w:rPr>
          <w:rFonts w:hint="eastAsia"/>
          <w:sz w:val="24"/>
          <w:szCs w:val="24"/>
          <w:lang w:val="en-US"/>
        </w:rPr>
        <w:t>包含来自联邦储备委员会公布的报告的外汇交易和利率数据以及费城联邦储备银行的重复国家指数。</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IRI</w:t>
      </w:r>
    </w:p>
    <w:p w:rsidR="00E12342" w:rsidRPr="008E0235" w:rsidRDefault="00E12342" w:rsidP="00E12342">
      <w:pPr>
        <w:rPr>
          <w:sz w:val="24"/>
          <w:szCs w:val="24"/>
          <w:lang w:val="en-US"/>
        </w:rPr>
      </w:pPr>
      <w:r w:rsidRPr="008E0235">
        <w:rPr>
          <w:rFonts w:hint="eastAsia"/>
          <w:sz w:val="24"/>
          <w:szCs w:val="24"/>
          <w:lang w:val="en-US"/>
        </w:rPr>
        <w:t>是从超过</w:t>
      </w:r>
      <w:r w:rsidRPr="008E0235">
        <w:rPr>
          <w:rFonts w:hint="eastAsia"/>
          <w:sz w:val="24"/>
          <w:szCs w:val="24"/>
          <w:lang w:val="en-US"/>
        </w:rPr>
        <w:t>11,300</w:t>
      </w:r>
      <w:r w:rsidRPr="008E0235">
        <w:rPr>
          <w:rFonts w:hint="eastAsia"/>
          <w:sz w:val="24"/>
          <w:szCs w:val="24"/>
          <w:lang w:val="en-US"/>
        </w:rPr>
        <w:t>家杂货店，以及约</w:t>
      </w:r>
      <w:r w:rsidRPr="008E0235">
        <w:rPr>
          <w:rFonts w:hint="eastAsia"/>
          <w:sz w:val="24"/>
          <w:szCs w:val="24"/>
          <w:lang w:val="en-US"/>
        </w:rPr>
        <w:t>7,500</w:t>
      </w:r>
      <w:r w:rsidRPr="008E0235">
        <w:rPr>
          <w:rFonts w:hint="eastAsia"/>
          <w:sz w:val="24"/>
          <w:szCs w:val="24"/>
          <w:lang w:val="en-US"/>
        </w:rPr>
        <w:t>家药店，提供销售点信息的领导者。</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Penn World Tables</w:t>
      </w:r>
    </w:p>
    <w:p w:rsidR="00E12342" w:rsidRPr="008E0235" w:rsidRDefault="00E12342" w:rsidP="00E12342">
      <w:pPr>
        <w:rPr>
          <w:sz w:val="24"/>
          <w:szCs w:val="24"/>
          <w:lang w:val="en-US"/>
        </w:rPr>
      </w:pPr>
      <w:r w:rsidRPr="008E0235">
        <w:rPr>
          <w:rFonts w:hint="eastAsia"/>
          <w:sz w:val="24"/>
          <w:szCs w:val="24"/>
          <w:lang w:val="en-US"/>
        </w:rPr>
        <w:t>提供国民收入帐户</w:t>
      </w:r>
      <w:r w:rsidRPr="008E0235">
        <w:rPr>
          <w:rFonts w:hint="eastAsia"/>
          <w:sz w:val="24"/>
          <w:szCs w:val="24"/>
          <w:lang w:val="en-US"/>
        </w:rPr>
        <w:t xml:space="preserve"> - </w:t>
      </w:r>
      <w:r w:rsidRPr="008E0235">
        <w:rPr>
          <w:rFonts w:hint="eastAsia"/>
          <w:sz w:val="24"/>
          <w:szCs w:val="24"/>
          <w:lang w:val="en-US"/>
        </w:rPr>
        <w:t>转换为国际价格的变量类型。</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w:t>
      </w:r>
      <w:r w:rsidRPr="008E0235">
        <w:rPr>
          <w:rFonts w:hint="eastAsia"/>
          <w:sz w:val="24"/>
          <w:szCs w:val="24"/>
          <w:lang w:val="en-US"/>
        </w:rPr>
        <w:t>费城证券交易所</w:t>
      </w:r>
    </w:p>
    <w:p w:rsidR="00E12342" w:rsidRPr="008E0235" w:rsidRDefault="00E12342" w:rsidP="00E12342">
      <w:pPr>
        <w:rPr>
          <w:sz w:val="24"/>
          <w:szCs w:val="24"/>
          <w:lang w:val="en-US"/>
        </w:rPr>
      </w:pPr>
      <w:r w:rsidRPr="008E0235">
        <w:rPr>
          <w:rFonts w:hint="eastAsia"/>
          <w:sz w:val="24"/>
          <w:szCs w:val="24"/>
          <w:lang w:val="en-US"/>
        </w:rPr>
        <w:lastRenderedPageBreak/>
        <w:t>联合货币期权市场提供到期日期、期权执行价格等的选择，以及</w:t>
      </w:r>
      <w:r w:rsidRPr="008E0235">
        <w:rPr>
          <w:rFonts w:hint="eastAsia"/>
          <w:sz w:val="24"/>
          <w:szCs w:val="24"/>
          <w:lang w:val="en-US"/>
        </w:rPr>
        <w:t>10</w:t>
      </w:r>
      <w:r w:rsidRPr="008E0235">
        <w:rPr>
          <w:rFonts w:hint="eastAsia"/>
          <w:sz w:val="24"/>
          <w:szCs w:val="24"/>
          <w:lang w:val="en-US"/>
        </w:rPr>
        <w:t>种货币的任意组合。</w:t>
      </w:r>
      <w:r w:rsidRPr="008E0235">
        <w:rPr>
          <w:rFonts w:hint="eastAsia"/>
          <w:sz w:val="24"/>
          <w:szCs w:val="24"/>
          <w:lang w:val="en-US"/>
        </w:rPr>
        <w:t xml:space="preserve"> </w:t>
      </w:r>
    </w:p>
    <w:p w:rsidR="00E12342" w:rsidRPr="008E0235" w:rsidRDefault="00E12342" w:rsidP="00E12342">
      <w:pPr>
        <w:rPr>
          <w:sz w:val="24"/>
          <w:szCs w:val="24"/>
          <w:lang w:val="en-US"/>
        </w:rPr>
      </w:pPr>
      <w:r w:rsidRPr="008E0235">
        <w:rPr>
          <w:rFonts w:ascii="Adobe Fangsong Std R" w:eastAsia="Adobe Fangsong Std R" w:hAnsi="Adobe Fangsong Std R" w:hint="eastAsia"/>
          <w:sz w:val="24"/>
          <w:szCs w:val="24"/>
          <w:lang w:val="en-US"/>
        </w:rPr>
        <w:t xml:space="preserve">★ </w:t>
      </w:r>
      <w:r w:rsidRPr="008E0235">
        <w:rPr>
          <w:sz w:val="24"/>
          <w:szCs w:val="24"/>
          <w:lang w:val="en-US"/>
        </w:rPr>
        <w:t>SEC Disclosure of Order Execution</w:t>
      </w:r>
    </w:p>
    <w:p w:rsidR="00E12342" w:rsidRDefault="00E12342" w:rsidP="00E12342">
      <w:pPr>
        <w:rPr>
          <w:sz w:val="24"/>
          <w:szCs w:val="24"/>
          <w:lang w:val="en-US"/>
        </w:rPr>
      </w:pPr>
      <w:r w:rsidRPr="008E0235">
        <w:rPr>
          <w:rFonts w:hint="eastAsia"/>
          <w:sz w:val="24"/>
          <w:szCs w:val="24"/>
          <w:lang w:val="en-US"/>
        </w:rPr>
        <w:t>以电子方式提供关于其股票质量的基本信息</w:t>
      </w:r>
    </w:p>
    <w:p w:rsidR="00472390" w:rsidRPr="00E12342" w:rsidRDefault="00472390">
      <w:pPr>
        <w:rPr>
          <w:lang w:val="en-US"/>
        </w:rPr>
      </w:pPr>
    </w:p>
    <w:sectPr w:rsidR="00472390" w:rsidRPr="00E123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68" w:rsidRDefault="00E71568" w:rsidP="00E12342">
      <w:pPr>
        <w:spacing w:before="0" w:after="0" w:line="240" w:lineRule="auto"/>
      </w:pPr>
      <w:r>
        <w:separator/>
      </w:r>
    </w:p>
  </w:endnote>
  <w:endnote w:type="continuationSeparator" w:id="0">
    <w:p w:rsidR="00E71568" w:rsidRDefault="00E71568" w:rsidP="00E12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68" w:rsidRDefault="00E71568" w:rsidP="00E12342">
      <w:pPr>
        <w:spacing w:before="0" w:after="0" w:line="240" w:lineRule="auto"/>
      </w:pPr>
      <w:r>
        <w:separator/>
      </w:r>
    </w:p>
  </w:footnote>
  <w:footnote w:type="continuationSeparator" w:id="0">
    <w:p w:rsidR="00E71568" w:rsidRDefault="00E71568" w:rsidP="00E1234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E06F5"/>
    <w:multiLevelType w:val="hybridMultilevel"/>
    <w:tmpl w:val="AD80A680"/>
    <w:lvl w:ilvl="0" w:tplc="051A04EE">
      <w:start w:val="1"/>
      <w:numFmt w:val="decimal"/>
      <w:lvlText w:val="%1."/>
      <w:lvlJc w:val="left"/>
      <w:pPr>
        <w:tabs>
          <w:tab w:val="num" w:pos="720"/>
        </w:tabs>
        <w:ind w:left="720" w:hanging="360"/>
      </w:pPr>
      <w:rPr>
        <w:rFonts w:hint="default"/>
        <w:b w:val="0"/>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0D"/>
    <w:rsid w:val="002C770D"/>
    <w:rsid w:val="00472390"/>
    <w:rsid w:val="00E12342"/>
    <w:rsid w:val="00E71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F7C57-4130-4A52-91A9-89097D53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42"/>
    <w:pPr>
      <w:spacing w:before="200" w:after="200" w:line="276" w:lineRule="auto"/>
    </w:pPr>
    <w:rPr>
      <w:rFonts w:ascii="Calibri" w:eastAsia="宋体" w:hAnsi="Calibri" w:cs="Times New Roman"/>
      <w:kern w:val="0"/>
      <w:sz w:val="22"/>
      <w:szCs w:val="20"/>
      <w:lang w:val="zh-CN"/>
    </w:rPr>
  </w:style>
  <w:style w:type="paragraph" w:styleId="1">
    <w:name w:val="heading 1"/>
    <w:basedOn w:val="a"/>
    <w:next w:val="a"/>
    <w:link w:val="1Char"/>
    <w:uiPriority w:val="9"/>
    <w:qFormat/>
    <w:rsid w:val="00E1234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0"/>
    </w:rPr>
  </w:style>
  <w:style w:type="paragraph" w:styleId="4">
    <w:name w:val="heading 4"/>
    <w:basedOn w:val="a"/>
    <w:next w:val="a"/>
    <w:link w:val="4Char"/>
    <w:uiPriority w:val="9"/>
    <w:semiHidden/>
    <w:unhideWhenUsed/>
    <w:qFormat/>
    <w:rsid w:val="00E12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342"/>
    <w:rPr>
      <w:sz w:val="18"/>
      <w:szCs w:val="18"/>
    </w:rPr>
  </w:style>
  <w:style w:type="paragraph" w:styleId="a4">
    <w:name w:val="footer"/>
    <w:basedOn w:val="a"/>
    <w:link w:val="Char0"/>
    <w:uiPriority w:val="99"/>
    <w:unhideWhenUsed/>
    <w:rsid w:val="00E12342"/>
    <w:pPr>
      <w:tabs>
        <w:tab w:val="center" w:pos="4153"/>
        <w:tab w:val="right" w:pos="8306"/>
      </w:tabs>
      <w:snapToGrid w:val="0"/>
    </w:pPr>
    <w:rPr>
      <w:sz w:val="18"/>
      <w:szCs w:val="18"/>
    </w:rPr>
  </w:style>
  <w:style w:type="character" w:customStyle="1" w:styleId="Char0">
    <w:name w:val="页脚 Char"/>
    <w:basedOn w:val="a0"/>
    <w:link w:val="a4"/>
    <w:uiPriority w:val="99"/>
    <w:rsid w:val="00E12342"/>
    <w:rPr>
      <w:sz w:val="18"/>
      <w:szCs w:val="18"/>
    </w:rPr>
  </w:style>
  <w:style w:type="character" w:customStyle="1" w:styleId="1Char">
    <w:name w:val="标题 1 Char"/>
    <w:basedOn w:val="a0"/>
    <w:link w:val="1"/>
    <w:uiPriority w:val="9"/>
    <w:rsid w:val="00E12342"/>
    <w:rPr>
      <w:rFonts w:ascii="Calibri" w:eastAsia="宋体" w:hAnsi="Calibri" w:cs="Times New Roman"/>
      <w:b/>
      <w:bCs/>
      <w:caps/>
      <w:color w:val="FFFFFF"/>
      <w:spacing w:val="15"/>
      <w:kern w:val="0"/>
      <w:sz w:val="20"/>
      <w:szCs w:val="20"/>
      <w:shd w:val="clear" w:color="auto" w:fill="4F81BD"/>
      <w:lang w:val="zh-CN"/>
    </w:rPr>
  </w:style>
  <w:style w:type="character" w:customStyle="1" w:styleId="4Char">
    <w:name w:val="标题 4 Char"/>
    <w:basedOn w:val="a0"/>
    <w:link w:val="4"/>
    <w:uiPriority w:val="9"/>
    <w:semiHidden/>
    <w:rsid w:val="00E12342"/>
    <w:rPr>
      <w:rFonts w:asciiTheme="majorHAnsi" w:eastAsiaTheme="majorEastAsia" w:hAnsiTheme="majorHAnsi" w:cstheme="majorBidi"/>
      <w:i/>
      <w:iCs/>
      <w:color w:val="2E74B5" w:themeColor="accent1" w:themeShade="BF"/>
      <w:kern w:val="0"/>
      <w:sz w:val="22"/>
      <w:szCs w:val="20"/>
      <w:lang w:val="zh-CN"/>
    </w:rPr>
  </w:style>
  <w:style w:type="paragraph" w:styleId="a5">
    <w:name w:val="Body Text"/>
    <w:basedOn w:val="a"/>
    <w:link w:val="Char1"/>
    <w:rsid w:val="00E12342"/>
    <w:pPr>
      <w:spacing w:before="0" w:after="240" w:line="240" w:lineRule="auto"/>
      <w:jc w:val="both"/>
    </w:pPr>
    <w:rPr>
      <w:rFonts w:ascii="Garamond" w:hAnsi="Garamond"/>
      <w:sz w:val="24"/>
      <w:lang w:val="en-US" w:eastAsia="en-US"/>
    </w:rPr>
  </w:style>
  <w:style w:type="character" w:customStyle="1" w:styleId="Char1">
    <w:name w:val="正文文本 Char"/>
    <w:basedOn w:val="a0"/>
    <w:link w:val="a5"/>
    <w:rsid w:val="00E12342"/>
    <w:rPr>
      <w:rFonts w:ascii="Garamond" w:eastAsia="宋体" w:hAnsi="Garamond"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SJTU</cp:lastModifiedBy>
  <cp:revision>2</cp:revision>
  <dcterms:created xsi:type="dcterms:W3CDTF">2017-10-23T02:56:00Z</dcterms:created>
  <dcterms:modified xsi:type="dcterms:W3CDTF">2017-10-23T02:56:00Z</dcterms:modified>
</cp:coreProperties>
</file>